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ind w:left="1570" w:right="1570" w:firstLine="0"/>
        <w:jc w:val="center"/>
        <w:rPr>
          <w:rFonts w:ascii="Century" w:cs="Century" w:eastAsia="Century" w:hAnsi="Century"/>
          <w:b w:val="1"/>
          <w:bCs w:val="1"/>
          <w:sz w:val="24"/>
          <w:szCs w:val="24"/>
        </w:rPr>
      </w:pPr>
      <w:r w:rsidDel="00000000" w:rsidR="00000000" w:rsidRPr="00000000">
        <w:rPr>
          <w:rFonts w:ascii="Century" w:cs="Century" w:eastAsia="Century" w:hAnsi="Century"/>
          <w:b w:val="1"/>
          <w:bCs w:val="1"/>
          <w:sz w:val="18"/>
          <w:szCs w:val="18"/>
          <w:rtl w:val="0"/>
        </w:rPr>
        <w:t xml:space="preserve">Journal Farmasi Klinik dan Sains 2022, 1 (1) : 1-8</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127000</wp:posOffset>
                </wp:positionV>
                <wp:extent cx="6633210" cy="1228725"/>
                <wp:effectExtent b="0" l="0" r="0" t="0"/>
                <wp:wrapNone/>
                <wp:docPr id="1430677838" name=""/>
                <a:graphic>
                  <a:graphicData uri="http://schemas.microsoft.com/office/word/2010/wordprocessingGroup">
                    <wpg:wgp>
                      <wpg:cNvGrpSpPr/>
                      <wpg:grpSpPr>
                        <a:xfrm>
                          <a:off x="2029375" y="3165625"/>
                          <a:ext cx="6633210" cy="1228725"/>
                          <a:chOff x="2029375" y="3165625"/>
                          <a:chExt cx="6633250" cy="1228750"/>
                        </a:xfrm>
                      </wpg:grpSpPr>
                      <wpg:grpSp>
                        <wpg:cNvGrpSpPr/>
                        <wpg:grpSpPr>
                          <a:xfrm>
                            <a:off x="2029395" y="3165638"/>
                            <a:ext cx="6633210" cy="1228725"/>
                            <a:chOff x="0" y="0"/>
                            <a:chExt cx="6633210" cy="1228725"/>
                          </a:xfrm>
                        </wpg:grpSpPr>
                        <wps:wsp>
                          <wps:cNvSpPr/>
                          <wps:cNvPr id="3" name="Shape 3"/>
                          <wps:spPr>
                            <a:xfrm>
                              <a:off x="0" y="0"/>
                              <a:ext cx="6633200" cy="1228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47" y="133350"/>
                              <a:ext cx="6584408" cy="6985"/>
                              <a:chOff x="634" y="491"/>
                              <a:chExt cx="9039" cy="11"/>
                            </a:xfrm>
                          </wpg:grpSpPr>
                          <wps:wsp>
                            <wps:cNvSpPr/>
                            <wps:cNvPr id="5" name="Shape 5"/>
                            <wps:spPr>
                              <a:xfrm>
                                <a:off x="2107" y="491"/>
                                <a:ext cx="7566" cy="11"/>
                              </a:xfrm>
                              <a:prstGeom prst="rect">
                                <a:avLst/>
                              </a:prstGeom>
                              <a:solidFill>
                                <a:srgbClr val="E6E7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34" y="491"/>
                                <a:ext cx="9038" cy="11"/>
                              </a:xfrm>
                              <a:custGeom>
                                <a:rect b="b" l="l" r="r" t="t"/>
                                <a:pathLst>
                                  <a:path extrusionOk="0" h="11" w="9038">
                                    <a:moveTo>
                                      <a:pt x="9038" y="0"/>
                                    </a:moveTo>
                                    <a:lnTo>
                                      <a:pt x="1189" y="0"/>
                                    </a:lnTo>
                                    <a:lnTo>
                                      <a:pt x="0" y="0"/>
                                    </a:lnTo>
                                    <a:lnTo>
                                      <a:pt x="0" y="10"/>
                                    </a:lnTo>
                                    <a:lnTo>
                                      <a:pt x="1189" y="10"/>
                                    </a:lnTo>
                                    <a:lnTo>
                                      <a:pt x="9038" y="10"/>
                                    </a:lnTo>
                                    <a:lnTo>
                                      <a:pt x="9038" y="0"/>
                                    </a:lnTo>
                                    <a:close/>
                                  </a:path>
                                </a:pathLst>
                              </a:custGeom>
                              <a:solidFill>
                                <a:srgbClr val="000000"/>
                              </a:solidFill>
                              <a:ln>
                                <a:noFill/>
                              </a:ln>
                            </wps:spPr>
                            <wps:bodyPr anchorCtr="0" anchor="ctr" bIns="91425" lIns="91425" spcFirstLastPara="1" rIns="91425" wrap="square" tIns="91425">
                              <a:noAutofit/>
                            </wps:bodyPr>
                          </wps:wsp>
                        </wpg:grpSp>
                        <wps:wsp>
                          <wps:cNvSpPr/>
                          <wps:cNvPr id="7" name="Shape 7"/>
                          <wps:spPr>
                            <a:xfrm>
                              <a:off x="28575" y="247650"/>
                              <a:ext cx="6604635" cy="824865"/>
                            </a:xfrm>
                            <a:prstGeom prst="rect">
                              <a:avLst/>
                            </a:prstGeom>
                            <a:solidFill>
                              <a:srgbClr val="002060"/>
                            </a:solidFill>
                            <a:ln>
                              <a:noFill/>
                            </a:ln>
                          </wps:spPr>
                          <wps:txbx>
                            <w:txbxContent>
                              <w:p w:rsidR="00000000" w:rsidDel="00000000" w:rsidP="00000000" w:rsidRDefault="00000000" w:rsidRPr="00000000">
                                <w:pPr>
                                  <w:spacing w:after="0" w:before="120" w:line="275.9999942779541"/>
                                  <w:ind w:left="1570" w:right="1570" w:firstLine="157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Journal Farmasi Klinik dan Sains (JFKS)</w:t>
                                </w:r>
                              </w:p>
                              <w:p w:rsidR="00000000" w:rsidDel="00000000" w:rsidP="00000000" w:rsidRDefault="00000000" w:rsidRPr="00000000">
                                <w:pPr>
                                  <w:spacing w:after="0" w:before="0" w:line="230.00000953674316"/>
                                  <w:ind w:left="1573.9999389648438" w:right="1573.9999389648438"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ffffff"/>
                                    <w:sz w:val="22"/>
                                    <w:vertAlign w:val="baseline"/>
                                  </w:rPr>
                                  <w:t xml:space="preserve">Home Page: ejournal.unimugo.ac.id/jfks</w:t>
                                </w:r>
                              </w:p>
                              <w:p w:rsidR="00000000" w:rsidDel="00000000" w:rsidP="00000000" w:rsidRDefault="00000000" w:rsidRPr="00000000">
                                <w:pPr>
                                  <w:spacing w:after="0" w:before="0" w:line="230.00000953674316"/>
                                  <w:ind w:left="1573.9999389648438" w:right="1573.9999389648438"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22"/>
                                    <w:vertAlign w:val="baseline"/>
                                  </w:rPr>
                                </w:r>
                              </w:p>
                              <w:p w:rsidR="00000000" w:rsidDel="00000000" w:rsidP="00000000" w:rsidRDefault="00000000" w:rsidRPr="00000000">
                                <w:pPr>
                                  <w:spacing w:after="0" w:before="0" w:line="230.00000953674316"/>
                                  <w:ind w:left="1573.9999389648438" w:right="1573.9999389648438" w:firstLine="0"/>
                                  <w:jc w:val="center"/>
                                  <w:textDirection w:val="btLr"/>
                                </w:pPr>
                                <w:r w:rsidDel="00000000" w:rsidR="00000000" w:rsidRPr="00000000">
                                  <w:rPr>
                                    <w:rFonts w:ascii="Times New Roman" w:cs="Times New Roman" w:eastAsia="Times New Roman" w:hAnsi="Times New Roman"/>
                                    <w:b w:val="0"/>
                                    <w:i w:val="0"/>
                                    <w:smallCaps w:val="0"/>
                                    <w:strike w:val="0"/>
                                    <w:color w:val="ffffff"/>
                                    <w:sz w:val="22"/>
                                    <w:vertAlign w:val="baseline"/>
                                  </w:rPr>
                                </w:r>
                                <w:r w:rsidDel="00000000" w:rsidR="00000000" w:rsidRPr="00000000">
                                  <w:rPr>
                                    <w:rFonts w:ascii="Times New Roman" w:cs="Times New Roman" w:eastAsia="Times New Roman" w:hAnsi="Times New Roman"/>
                                    <w:b w:val="0"/>
                                    <w:i w:val="0"/>
                                    <w:smallCaps w:val="0"/>
                                    <w:strike w:val="0"/>
                                    <w:color w:val="ffffff"/>
                                    <w:sz w:val="18"/>
                                    <w:vertAlign w:val="baseline"/>
                                  </w:rPr>
                                  <w:t xml:space="preserve">e-ISSN: 2809-2899; p-ISSN: 2809-3828</w:t>
                                </w:r>
                              </w:p>
                            </w:txbxContent>
                          </wps:txbx>
                          <wps:bodyPr anchorCtr="0" anchor="t" bIns="0" lIns="0" spcFirstLastPara="1" rIns="0" wrap="square" tIns="0">
                            <a:noAutofit/>
                          </wps:bodyPr>
                        </wps:wsp>
                        <wps:wsp>
                          <wps:cNvSpPr/>
                          <wps:cNvPr id="8" name="Shape 8"/>
                          <wps:spPr>
                            <a:xfrm>
                              <a:off x="28575" y="1152525"/>
                              <a:ext cx="6604635" cy="381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F:\Data LP3M ARNIKA\Jurnal Unimugo\JFKS\logo JFKS.png" id="9" name="Shape 9"/>
                            <pic:cNvPicPr preferRelativeResize="0"/>
                          </pic:nvPicPr>
                          <pic:blipFill rotWithShape="1">
                            <a:blip r:embed="rId7">
                              <a:alphaModFix/>
                            </a:blip>
                            <a:srcRect b="0" l="0" r="0" t="0"/>
                            <a:stretch/>
                          </pic:blipFill>
                          <pic:spPr>
                            <a:xfrm>
                              <a:off x="0" y="0"/>
                              <a:ext cx="1228725" cy="1228725"/>
                            </a:xfrm>
                            <a:prstGeom prst="rect">
                              <a:avLst/>
                            </a:prstGeom>
                            <a:noFill/>
                            <a:ln>
                              <a:noFill/>
                            </a:ln>
                          </pic:spPr>
                        </pic:pic>
                        <pic:pic>
                          <pic:nvPicPr>
                            <pic:cNvPr descr="F:\Data LP3M ARNIKA\Jurnal Unimugo\JFKS\Jurnal Farmasi Klinik dan Sains Final Edit With ISSN.jpg" id="10" name="Shape 10"/>
                            <pic:cNvPicPr preferRelativeResize="0"/>
                          </pic:nvPicPr>
                          <pic:blipFill rotWithShape="1">
                            <a:blip r:embed="rId8">
                              <a:alphaModFix/>
                            </a:blip>
                            <a:srcRect b="0" l="0" r="0" t="0"/>
                            <a:stretch/>
                          </pic:blipFill>
                          <pic:spPr>
                            <a:xfrm>
                              <a:off x="5867400" y="133350"/>
                              <a:ext cx="666750" cy="94297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127000</wp:posOffset>
                </wp:positionV>
                <wp:extent cx="6633210" cy="1228725"/>
                <wp:effectExtent b="0" l="0" r="0" t="0"/>
                <wp:wrapNone/>
                <wp:docPr id="143067783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633210" cy="122872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after="0" w:line="240" w:lineRule="auto"/>
        <w:ind w:left="0" w:right="204"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Efektivitas Pemberian Tolvaptan pada Pasien Gagal Jantung dengan Resistensi Diuretik</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0D">
      <w:pPr>
        <w:spacing w:after="0" w:line="240" w:lineRule="auto"/>
        <w:ind w:left="270" w:right="204" w:firstLine="0"/>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Effectiveness of Tolvaptan Administration in Heart Failure Patients with Diuretic Resistance</w:t>
      </w:r>
    </w:p>
    <w:p w:rsidR="00000000" w:rsidDel="00000000" w:rsidP="00000000" w:rsidRDefault="00000000" w:rsidRPr="00000000" w14:paraId="0000000E">
      <w:pPr>
        <w:spacing w:after="0" w:line="240" w:lineRule="auto"/>
        <w:ind w:left="270" w:right="204" w:firstLine="0"/>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color w:val="000000"/>
          <w:sz w:val="2"/>
          <w:szCs w:val="2"/>
          <w:highlight w:val="black"/>
          <w:u w:val="none"/>
          <w:rtl w:val="0"/>
        </w:rPr>
        <w:t xml:space="preserve">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Full Name</w:t>
      </w:r>
      <w:r w:rsidDel="00000000" w:rsidR="00000000" w:rsidRPr="00000000">
        <w:rPr>
          <w:rFonts w:ascii="Times New Roman" w:cs="Times New Roman" w:eastAsia="Times New Roman" w:hAnsi="Times New Roman"/>
          <w:b w:val="1"/>
          <w:bCs w:val="1"/>
          <w:sz w:val="20"/>
          <w:szCs w:val="20"/>
          <w:vertAlign w:val="superscript"/>
          <w:rtl w:val="0"/>
        </w:rPr>
        <w:t xml:space="preserve">1*</w:t>
      </w:r>
      <w:r w:rsidDel="00000000" w:rsidR="00000000" w:rsidRPr="00000000">
        <w:rPr>
          <w:rFonts w:ascii="Times New Roman" w:cs="Times New Roman" w:eastAsia="Times New Roman" w:hAnsi="Times New Roman"/>
          <w:b w:val="1"/>
          <w:bCs w:val="1"/>
          <w:sz w:val="20"/>
          <w:szCs w:val="20"/>
          <w:rtl w:val="0"/>
        </w:rPr>
        <w:t xml:space="preserve">, Full Name</w:t>
      </w:r>
      <w:r w:rsidDel="00000000" w:rsidR="00000000" w:rsidRPr="00000000">
        <w:rPr>
          <w:rFonts w:ascii="Times New Roman" w:cs="Times New Roman" w:eastAsia="Times New Roman" w:hAnsi="Times New Roman"/>
          <w:b w:val="1"/>
          <w:bCs w:val="1"/>
          <w:sz w:val="20"/>
          <w:szCs w:val="20"/>
          <w:vertAlign w:val="superscript"/>
          <w:rtl w:val="0"/>
        </w:rPr>
        <w:t xml:space="preserve">2</w:t>
      </w:r>
      <w:r w:rsidDel="00000000" w:rsidR="00000000" w:rsidRPr="00000000">
        <w:rPr>
          <w:rFonts w:ascii="Times New Roman" w:cs="Times New Roman" w:eastAsia="Times New Roman" w:hAnsi="Times New Roman"/>
          <w:b w:val="1"/>
          <w:bCs w:val="1"/>
          <w:sz w:val="20"/>
          <w:szCs w:val="20"/>
          <w:rtl w:val="0"/>
        </w:rPr>
        <w:t xml:space="preserve">, Full Name</w:t>
      </w:r>
      <w:r w:rsidDel="00000000" w:rsidR="00000000" w:rsidRPr="00000000">
        <w:rPr>
          <w:rFonts w:ascii="Times New Roman" w:cs="Times New Roman" w:eastAsia="Times New Roman" w:hAnsi="Times New Roman"/>
          <w:b w:val="1"/>
          <w:bCs w:val="1"/>
          <w:sz w:val="20"/>
          <w:szCs w:val="20"/>
          <w:vertAlign w:val="superscript"/>
          <w:rtl w:val="0"/>
        </w:rPr>
        <w:t xml:space="preserve">3   </w:t>
      </w:r>
      <w:r w:rsidDel="00000000" w:rsidR="00000000" w:rsidRPr="00000000">
        <w:rPr>
          <w:rFonts w:ascii="Times New Roman" w:cs="Times New Roman" w:eastAsia="Times New Roman" w:hAnsi="Times New Roman"/>
          <w:b w:val="1"/>
          <w:bCs w:val="1"/>
          <w:sz w:val="20"/>
          <w:szCs w:val="20"/>
          <w:rtl w:val="0"/>
        </w:rPr>
        <w:t xml:space="preserve">Bold,</w:t>
      </w:r>
      <w:r w:rsidDel="00000000" w:rsidR="00000000" w:rsidRPr="00000000">
        <w:rPr>
          <w:rFonts w:ascii="Times New Roman" w:cs="Times New Roman" w:eastAsia="Times New Roman" w:hAnsi="Times New Roman"/>
          <w:b w:val="1"/>
          <w:bCs w:val="1"/>
          <w:sz w:val="20"/>
          <w:szCs w:val="20"/>
          <w:vertAlign w:val="superscript"/>
          <w:rtl w:val="0"/>
        </w:rPr>
        <w:t xml:space="preserve"> </w:t>
      </w:r>
      <w:r w:rsidDel="00000000" w:rsidR="00000000" w:rsidRPr="00000000">
        <w:rPr>
          <w:rFonts w:ascii="Times New Roman" w:cs="Times New Roman" w:eastAsia="Times New Roman" w:hAnsi="Times New Roman"/>
          <w:b w:val="1"/>
          <w:bCs w:val="1"/>
          <w:sz w:val="20"/>
          <w:szCs w:val="20"/>
          <w:rtl w:val="0"/>
        </w:rPr>
        <w:t xml:space="preserve">Times New Roman (10 pt)</w:t>
      </w:r>
    </w:p>
    <w:p w:rsidR="00000000" w:rsidDel="00000000" w:rsidP="00000000" w:rsidRDefault="00000000" w:rsidRPr="00000000" w14:paraId="00000011">
      <w:pPr>
        <w:spacing w:after="0" w:line="480" w:lineRule="auto"/>
        <w:jc w:val="center"/>
        <w:rPr>
          <w:rFonts w:ascii="Times New Roman" w:cs="Times New Roman" w:eastAsia="Times New Roman" w:hAnsi="Times New Roman"/>
          <w:sz w:val="18"/>
          <w:szCs w:val="18"/>
        </w:rPr>
      </w:pPr>
      <w:r w:rsidDel="00000000" w:rsidR="00000000" w:rsidRPr="00000000">
        <w:rPr>
          <w:rtl w:val="0"/>
        </w:rPr>
      </w:r>
    </w:p>
    <w:tbl>
      <w:tblPr>
        <w:tblStyle w:val="Table1"/>
        <w:tblW w:w="104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870"/>
        <w:gridCol w:w="6690"/>
        <w:tblGridChange w:id="0">
          <w:tblGrid>
            <w:gridCol w:w="2880"/>
            <w:gridCol w:w="870"/>
            <w:gridCol w:w="6690"/>
          </w:tblGrid>
        </w:tblGridChange>
      </w:tblGrid>
      <w:tr>
        <w:trPr>
          <w:cantSplit w:val="0"/>
          <w:trHeight w:val="613" w:hRule="atLeast"/>
          <w:tblHeader w:val="0"/>
        </w:trPr>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2">
            <w:pPr>
              <w:spacing w:after="0" w:line="240" w:lineRule="auto"/>
              <w:ind w:left="-105"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3">
            <w:pPr>
              <w:spacing w:after="120" w:line="240" w:lineRule="auto"/>
              <w:ind w:left="-101"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ARTICLE INFO</w:t>
            </w:r>
          </w:p>
        </w:tc>
        <w:tc>
          <w:tcPr>
            <w:vMerge w:val="restart"/>
            <w:tcBorders>
              <w:top w:color="000000" w:space="0" w:sz="4" w:val="single"/>
              <w:left w:color="000000" w:space="0" w:sz="0" w:val="nil"/>
              <w:right w:color="000000" w:space="0" w:sz="0" w:val="nil"/>
            </w:tcBorders>
          </w:tcPr>
          <w:p w:rsidR="00000000" w:rsidDel="00000000" w:rsidP="00000000" w:rsidRDefault="00000000" w:rsidRPr="00000000" w14:paraId="00000014">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15">
            <w:pPr>
              <w:spacing w:after="120" w:line="240" w:lineRule="auto"/>
              <w:ind w:left="-71"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ABSTRAK (Bahasa Indonesia) Bold,</w:t>
            </w:r>
            <w:r w:rsidDel="00000000" w:rsidR="00000000" w:rsidRPr="00000000">
              <w:rPr>
                <w:rFonts w:ascii="Times New Roman" w:cs="Times New Roman" w:eastAsia="Times New Roman" w:hAnsi="Times New Roman"/>
                <w:b w:val="1"/>
                <w:bCs w:val="1"/>
                <w:sz w:val="20"/>
                <w:szCs w:val="20"/>
                <w:vertAlign w:val="superscript"/>
                <w:rtl w:val="0"/>
              </w:rPr>
              <w:t xml:space="preserve"> </w:t>
            </w:r>
            <w:r w:rsidDel="00000000" w:rsidR="00000000" w:rsidRPr="00000000">
              <w:rPr>
                <w:rFonts w:ascii="Times New Roman" w:cs="Times New Roman" w:eastAsia="Times New Roman" w:hAnsi="Times New Roman"/>
                <w:b w:val="1"/>
                <w:bCs w:val="1"/>
                <w:sz w:val="20"/>
                <w:szCs w:val="20"/>
                <w:rtl w:val="0"/>
              </w:rPr>
              <w:t xml:space="preserve">Times New Roman (10 pt)</w:t>
            </w:r>
          </w:p>
        </w:tc>
      </w:tr>
      <w:tr>
        <w:trPr>
          <w:cantSplit w:val="0"/>
          <w:trHeight w:val="2062" w:hRule="atLeast"/>
          <w:tblHeader w:val="0"/>
        </w:trPr>
        <w:tc>
          <w:tcPr>
            <w:vMerge w:val="restart"/>
            <w:tcBorders>
              <w:top w:color="000000" w:space="0" w:sz="4" w:val="single"/>
              <w:left w:color="000000" w:space="0" w:sz="0" w:val="nil"/>
              <w:right w:color="000000" w:space="0" w:sz="0" w:val="nil"/>
            </w:tcBorders>
            <w:shd w:fill="auto" w:val="clear"/>
          </w:tcPr>
          <w:p w:rsidR="00000000" w:rsidDel="00000000" w:rsidP="00000000" w:rsidRDefault="00000000" w:rsidRPr="00000000" w14:paraId="00000016">
            <w:pPr>
              <w:spacing w:after="0" w:before="120" w:line="240" w:lineRule="auto"/>
              <w:ind w:left="-101"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Submitted:</w:t>
            </w:r>
            <w:r w:rsidDel="00000000" w:rsidR="00000000" w:rsidRPr="00000000">
              <w:rPr>
                <w:rFonts w:ascii="Times New Roman" w:cs="Times New Roman" w:eastAsia="Times New Roman" w:hAnsi="Times New Roman"/>
                <w:sz w:val="18"/>
                <w:szCs w:val="18"/>
                <w:rtl w:val="0"/>
              </w:rPr>
              <w:t xml:space="preserve"> 14-01-2017</w:t>
            </w:r>
          </w:p>
          <w:p w:rsidR="00000000" w:rsidDel="00000000" w:rsidP="00000000" w:rsidRDefault="00000000" w:rsidRPr="00000000" w14:paraId="00000017">
            <w:pPr>
              <w:numPr>
                <w:ilvl w:val="0"/>
                <w:numId w:val="3"/>
              </w:numPr>
              <w:spacing w:after="0" w:line="240" w:lineRule="auto"/>
              <w:ind w:left="-10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Revised:</w:t>
            </w:r>
            <w:r w:rsidDel="00000000" w:rsidR="00000000" w:rsidRPr="00000000">
              <w:rPr>
                <w:rFonts w:ascii="Times New Roman" w:cs="Times New Roman" w:eastAsia="Times New Roman" w:hAnsi="Times New Roman"/>
                <w:sz w:val="18"/>
                <w:szCs w:val="18"/>
                <w:rtl w:val="0"/>
              </w:rPr>
              <w:t xml:space="preserve"> 20-03-2011 </w:t>
            </w:r>
          </w:p>
          <w:p w:rsidR="00000000" w:rsidDel="00000000" w:rsidP="00000000" w:rsidRDefault="00000000" w:rsidRPr="00000000" w14:paraId="00000018">
            <w:pPr>
              <w:spacing w:after="0" w:line="240" w:lineRule="auto"/>
              <w:ind w:left="-105"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Accepted:</w:t>
            </w:r>
            <w:r w:rsidDel="00000000" w:rsidR="00000000" w:rsidRPr="00000000">
              <w:rPr>
                <w:rFonts w:ascii="Times New Roman" w:cs="Times New Roman" w:eastAsia="Times New Roman" w:hAnsi="Times New Roman"/>
                <w:sz w:val="18"/>
                <w:szCs w:val="18"/>
                <w:rtl w:val="0"/>
              </w:rPr>
              <w:t xml:space="preserve"> 11-04-2017</w:t>
            </w:r>
          </w:p>
          <w:p w:rsidR="00000000" w:rsidDel="00000000" w:rsidP="00000000" w:rsidRDefault="00000000" w:rsidRPr="00000000" w14:paraId="00000019">
            <w:pPr>
              <w:spacing w:after="0" w:line="240" w:lineRule="auto"/>
              <w:ind w:left="-105" w:right="-10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*1</w:t>
            </w:r>
            <w:r w:rsidDel="00000000" w:rsidR="00000000" w:rsidRPr="00000000">
              <w:rPr>
                <w:rFonts w:ascii="Times New Roman" w:cs="Times New Roman" w:eastAsia="Times New Roman" w:hAnsi="Times New Roman"/>
                <w:sz w:val="18"/>
                <w:szCs w:val="18"/>
                <w:rtl w:val="0"/>
              </w:rPr>
              <w:t xml:space="preserve">Author affiliation (Department, University, City)</w:t>
            </w:r>
          </w:p>
          <w:p w:rsidR="00000000" w:rsidDel="00000000" w:rsidP="00000000" w:rsidRDefault="00000000" w:rsidRPr="00000000" w14:paraId="0000001A">
            <w:pPr>
              <w:spacing w:after="0" w:line="240" w:lineRule="auto"/>
              <w:ind w:left="-105" w:right="-10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2,3</w:t>
            </w:r>
            <w:r w:rsidDel="00000000" w:rsidR="00000000" w:rsidRPr="00000000">
              <w:rPr>
                <w:rFonts w:ascii="Times New Roman" w:cs="Times New Roman" w:eastAsia="Times New Roman" w:hAnsi="Times New Roman"/>
                <w:sz w:val="18"/>
                <w:szCs w:val="18"/>
                <w:rtl w:val="0"/>
              </w:rPr>
              <w:t xml:space="preserve">Author affiliation (Department, University, City)</w:t>
            </w:r>
          </w:p>
          <w:p w:rsidR="00000000" w:rsidDel="00000000" w:rsidP="00000000" w:rsidRDefault="00000000" w:rsidRPr="00000000" w14:paraId="0000001B">
            <w:pPr>
              <w:spacing w:after="0" w:line="240" w:lineRule="auto"/>
              <w:ind w:left="-105" w:right="-10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*Corresponding author (author name)</w:t>
            </w:r>
          </w:p>
          <w:p w:rsidR="00000000" w:rsidDel="00000000" w:rsidP="00000000" w:rsidRDefault="00000000" w:rsidRPr="00000000" w14:paraId="0000001C">
            <w:pPr>
              <w:spacing w:after="0" w:line="240" w:lineRule="auto"/>
              <w:ind w:left="-105" w:right="-10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Email: Email Correspondent</w:t>
            </w:r>
          </w:p>
          <w:p w:rsidR="00000000" w:rsidDel="00000000" w:rsidP="00000000" w:rsidRDefault="00000000" w:rsidRPr="00000000" w14:paraId="0000001D">
            <w:pPr>
              <w:spacing w:after="0" w:line="240" w:lineRule="auto"/>
              <w:ind w:left="-105" w:right="-10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E">
            <w:pPr>
              <w:spacing w:after="0" w:line="240" w:lineRule="auto"/>
              <w:ind w:left="-105" w:right="-10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F">
            <w:pPr>
              <w:spacing w:after="0" w:line="240" w:lineRule="auto"/>
              <w:ind w:left="-105" w:right="-100" w:firstLine="0"/>
              <w:jc w:val="both"/>
              <w:rPr>
                <w:rFonts w:ascii="Times New Roman" w:cs="Times New Roman" w:eastAsia="Times New Roman" w:hAnsi="Times New Roman"/>
                <w:b w:val="1"/>
                <w:bCs w:val="1"/>
                <w:sz w:val="18"/>
                <w:szCs w:val="18"/>
              </w:rPr>
            </w:pPr>
            <w:r w:rsidDel="00000000" w:rsidR="00000000" w:rsidRPr="00000000">
              <w:rPr/>
              <w:drawing>
                <wp:inline distB="0" distT="0" distL="0" distR="0">
                  <wp:extent cx="838200" cy="298450"/>
                  <wp:effectExtent b="0" l="0" r="0" t="0"/>
                  <wp:docPr descr="Creative Commons License" id="1430677839" name="image1.png"/>
                  <a:graphic>
                    <a:graphicData uri="http://schemas.openxmlformats.org/drawingml/2006/picture">
                      <pic:pic>
                        <pic:nvPicPr>
                          <pic:cNvPr descr="Creative Commons License" id="0" name="image1.png"/>
                          <pic:cNvPicPr preferRelativeResize="0"/>
                        </pic:nvPicPr>
                        <pic:blipFill>
                          <a:blip r:embed="rId10"/>
                          <a:srcRect b="0" l="0" r="0" t="0"/>
                          <a:stretch>
                            <a:fillRect/>
                          </a:stretch>
                        </pic:blipFill>
                        <pic:spPr>
                          <a:xfrm>
                            <a:off x="0" y="0"/>
                            <a:ext cx="838200" cy="298450"/>
                          </a:xfrm>
                          <a:prstGeom prst="rect"/>
                          <a:ln/>
                        </pic:spPr>
                      </pic:pic>
                    </a:graphicData>
                  </a:graphic>
                </wp:inline>
              </w:drawing>
            </w:r>
            <w:r w:rsidDel="00000000" w:rsidR="00000000" w:rsidRPr="00000000">
              <w:rPr>
                <w:rtl w:val="0"/>
              </w:rPr>
            </w:r>
          </w:p>
        </w:tc>
        <w:tc>
          <w:tcPr>
            <w:vMerge w:val="continue"/>
            <w:tcBorders>
              <w:top w:color="000000" w:space="0" w:sz="4" w:val="single"/>
              <w:left w:color="000000" w:space="0" w:sz="0" w:val="nil"/>
              <w:right w:color="000000" w:space="0" w:sz="0" w:val="nil"/>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21">
            <w:pPr>
              <w:spacing w:before="120" w:lineRule="auto"/>
              <w:ind w:left="-71" w:right="-109"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Abstract is written in two language (Indonesia and English vrsion) and arranged in 1 paragraph. Times New Roman (9 pt) preferably 250 words. The abstract should be clear, concise, and descriptive with 3-6 key words. This abstract should provide a brief introduction to the problem, objective of paper, followed by a statement regarding the methodology if the manuscript is taken from research report and a brief summary of results. </w:t>
            </w:r>
          </w:p>
          <w:p w:rsidR="00000000" w:rsidDel="00000000" w:rsidP="00000000" w:rsidRDefault="00000000" w:rsidRPr="00000000" w14:paraId="00000022">
            <w:pPr>
              <w:spacing w:after="0" w:line="240" w:lineRule="auto"/>
              <w:ind w:left="-71" w:right="-109" w:firstLine="567"/>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23">
            <w:pPr>
              <w:tabs>
                <w:tab w:val="left" w:leader="none" w:pos="5442"/>
              </w:tabs>
              <w:spacing w:after="0" w:line="240" w:lineRule="auto"/>
              <w:ind w:left="-71" w:right="-109"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18"/>
                <w:szCs w:val="18"/>
                <w:rtl w:val="0"/>
              </w:rPr>
              <w:t xml:space="preserve">Key words:</w:t>
            </w:r>
            <w:r w:rsidDel="00000000" w:rsidR="00000000" w:rsidRPr="00000000">
              <w:rPr>
                <w:rFonts w:ascii="Times New Roman" w:cs="Times New Roman" w:eastAsia="Times New Roman" w:hAnsi="Times New Roman"/>
                <w:sz w:val="18"/>
                <w:szCs w:val="18"/>
                <w:rtl w:val="0"/>
              </w:rPr>
              <w:t xml:space="preserve"> Key words 1, Key words 2 Key words 3 Key words 4</w:t>
            </w:r>
            <w:r w:rsidDel="00000000" w:rsidR="00000000" w:rsidRPr="00000000">
              <w:rPr>
                <w:rtl w:val="0"/>
              </w:rPr>
            </w:r>
          </w:p>
        </w:tc>
      </w:tr>
      <w:tr>
        <w:trPr>
          <w:cantSplit w:val="0"/>
          <w:trHeight w:val="568" w:hRule="atLeast"/>
          <w:tblHeader w:val="0"/>
        </w:trPr>
        <w:tc>
          <w:tcPr>
            <w:vMerge w:val="continue"/>
            <w:tcBorders>
              <w:top w:color="000000" w:space="0" w:sz="4" w:val="single"/>
              <w:left w:color="000000" w:space="0" w:sz="0" w:val="nil"/>
              <w:right w:color="000000" w:space="0" w:sz="0" w:val="nil"/>
            </w:tcBorders>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0" w:val="nil"/>
              <w:right w:color="000000" w:space="0" w:sz="0" w:val="nil"/>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tcBorders>
              <w:left w:color="000000" w:space="0" w:sz="0" w:val="nil"/>
              <w:right w:color="000000" w:space="0" w:sz="0" w:val="nil"/>
            </w:tcBorders>
            <w:shd w:fill="auto" w:val="clear"/>
            <w:vAlign w:val="bottom"/>
          </w:tcPr>
          <w:p w:rsidR="00000000" w:rsidDel="00000000" w:rsidP="00000000" w:rsidRDefault="00000000" w:rsidRPr="00000000" w14:paraId="00000026">
            <w:pPr>
              <w:spacing w:after="120" w:line="240" w:lineRule="auto"/>
              <w:ind w:left="-71" w:right="-109"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ABSTRACT (Bahasa Inggris) Bold,</w:t>
            </w:r>
            <w:r w:rsidDel="00000000" w:rsidR="00000000" w:rsidRPr="00000000">
              <w:rPr>
                <w:rFonts w:ascii="Times New Roman" w:cs="Times New Roman" w:eastAsia="Times New Roman" w:hAnsi="Times New Roman"/>
                <w:b w:val="1"/>
                <w:bCs w:val="1"/>
                <w:sz w:val="20"/>
                <w:szCs w:val="20"/>
                <w:vertAlign w:val="superscript"/>
                <w:rtl w:val="0"/>
              </w:rPr>
              <w:t xml:space="preserve"> </w:t>
            </w:r>
            <w:r w:rsidDel="00000000" w:rsidR="00000000" w:rsidRPr="00000000">
              <w:rPr>
                <w:rFonts w:ascii="Times New Roman" w:cs="Times New Roman" w:eastAsia="Times New Roman" w:hAnsi="Times New Roman"/>
                <w:b w:val="1"/>
                <w:bCs w:val="1"/>
                <w:sz w:val="20"/>
                <w:szCs w:val="20"/>
                <w:rtl w:val="0"/>
              </w:rPr>
              <w:t xml:space="preserve">Times New Roman (10 pt)</w:t>
            </w:r>
          </w:p>
        </w:tc>
      </w:tr>
      <w:tr>
        <w:trPr>
          <w:cantSplit w:val="0"/>
          <w:trHeight w:val="2100" w:hRule="atLeast"/>
          <w:tblHeader w:val="0"/>
        </w:trPr>
        <w:tc>
          <w:tcPr>
            <w:vMerge w:val="continue"/>
            <w:tcBorders>
              <w:top w:color="000000" w:space="0" w:sz="4" w:val="single"/>
              <w:left w:color="000000" w:space="0" w:sz="0" w:val="nil"/>
              <w:right w:color="000000" w:space="0" w:sz="0" w:val="nil"/>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0" w:val="nil"/>
              <w:right w:color="000000" w:space="0" w:sz="0" w:val="nil"/>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tcBorders>
              <w:left w:color="000000" w:space="0" w:sz="0" w:val="nil"/>
              <w:bottom w:color="000000" w:space="0" w:sz="4" w:val="single"/>
              <w:right w:color="000000" w:space="0" w:sz="0" w:val="nil"/>
            </w:tcBorders>
            <w:shd w:fill="auto" w:val="clear"/>
          </w:tcPr>
          <w:p w:rsidR="00000000" w:rsidDel="00000000" w:rsidP="00000000" w:rsidRDefault="00000000" w:rsidRPr="00000000" w14:paraId="00000029">
            <w:pPr>
              <w:spacing w:before="120" w:lineRule="auto"/>
              <w:ind w:left="-71" w:right="-109"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Abstract is written in two language (Indonesia and English version) and arranged in 1 paragraph. Times New Roman (9 pt) preferably 250 words. The abstract should be clear, concise, and descriptive with 3-6 key words. This abstract should provide a brief introduction to the problem, objective of paper, followed by a statement regarding the methodology if the manuscript is taken from research report and a brief summary of results. </w:t>
            </w:r>
          </w:p>
          <w:p w:rsidR="00000000" w:rsidDel="00000000" w:rsidP="00000000" w:rsidRDefault="00000000" w:rsidRPr="00000000" w14:paraId="0000002A">
            <w:pPr>
              <w:spacing w:after="0" w:line="240" w:lineRule="auto"/>
              <w:ind w:left="-71" w:right="-109" w:firstLine="567"/>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2B">
            <w:pPr>
              <w:spacing w:after="0" w:line="240" w:lineRule="auto"/>
              <w:ind w:left="-71" w:right="-109"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18"/>
                <w:szCs w:val="18"/>
                <w:rtl w:val="0"/>
              </w:rPr>
              <w:t xml:space="preserve">Key words:</w:t>
            </w:r>
            <w:r w:rsidDel="00000000" w:rsidR="00000000" w:rsidRPr="00000000">
              <w:rPr>
                <w:rFonts w:ascii="Times New Roman" w:cs="Times New Roman" w:eastAsia="Times New Roman" w:hAnsi="Times New Roman"/>
                <w:sz w:val="18"/>
                <w:szCs w:val="18"/>
                <w:rtl w:val="0"/>
              </w:rPr>
              <w:t xml:space="preserve"> Key words 1, Key words 2 Key words 3 Key words 4  </w:t>
            </w:r>
            <w:r w:rsidDel="00000000" w:rsidR="00000000" w:rsidRPr="00000000">
              <w:rPr>
                <w:rtl w:val="0"/>
              </w:rPr>
            </w:r>
          </w:p>
        </w:tc>
      </w:tr>
    </w:tbl>
    <w:p w:rsidR="00000000" w:rsidDel="00000000" w:rsidP="00000000" w:rsidRDefault="00000000" w:rsidRPr="00000000" w14:paraId="0000002C">
      <w:pPr>
        <w:spacing w:after="0"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bCs w:val="1"/>
          <w:sz w:val="20"/>
          <w:szCs w:val="20"/>
        </w:rPr>
        <w:sectPr>
          <w:headerReference r:id="rId11" w:type="default"/>
          <w:headerReference r:id="rId12" w:type="even"/>
          <w:pgSz w:h="16840" w:w="11907" w:orient="portrait"/>
          <w:pgMar w:bottom="274" w:top="619" w:left="518" w:right="475" w:header="720" w:footer="0"/>
          <w:pgNumType w:start="1"/>
          <w:titlePg w:val="1"/>
        </w:sectPr>
      </w:pPr>
      <w:r w:rsidDel="00000000" w:rsidR="00000000" w:rsidRPr="00000000">
        <w:rPr>
          <w:rtl w:val="0"/>
        </w:rPr>
      </w:r>
    </w:p>
    <w:p w:rsidR="00000000" w:rsidDel="00000000" w:rsidP="00000000" w:rsidRDefault="00000000" w:rsidRPr="00000000" w14:paraId="0000002E">
      <w:pPr>
        <w:pStyle w:val="Heading1"/>
        <w:numPr>
          <w:ilvl w:val="0"/>
          <w:numId w:val="4"/>
        </w:numPr>
        <w:ind w:left="720" w:hanging="360"/>
        <w:rPr/>
      </w:pPr>
      <w:r w:rsidDel="00000000" w:rsidR="00000000" w:rsidRPr="00000000">
        <w:rPr>
          <w:rtl w:val="0"/>
        </w:rPr>
        <w:t xml:space="preserve">INTRODUCTION (PENDAHULUAN)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Gagal jantung (heart failure) merupakan masalah kesehatan global dengan beban penyakit yang terus meningkat secara signifikan. Data Organisasi Kesehatan Dunia (WHO) menunjukkan bahwa prevlensi gagal jantung mencapai lebih dari 64 juta kasus di seluruh dunia, dengan angka kematian yang tinggi dan kualitas hidup yang menurun (Savarese et al., 2023). Di Indonesia, kondisi ini semakin mengkhawatirkan dengan peningkatan angka kejadian seiring dengan pertambahan usia populasi dan tingginya faktor risiko kardiovaskular (Prastuti et al., 2021). Salah satu tantangan utama dalam tatalaksana gagal jantung akut dekompensasi adalah perkembangan resistensi diuretik, suatu kondisi di mana respons terhadap diuretik gelung dosis optimal berkurang atau hilang, menyebabkan penumpukan cairan (kongesti) yang persisten (Mullens et al., 2019).</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Resistensi diuretik terjadi pada sekitar 25-30% pasien gagal jantung rawat inap dan sangat berkaitan dengan prognosis yang buruk, peningkatan lama perawatan di rumah sakit, serta mortalitas yang lebih tinggi (Cox et al., 2022). Patofisiologinya kompleks, melibatkan aktivasi neurohormonal yang berlebihan (termasuk sistem renin-angiotensin-aldosteron dan arginin-vasopressin), penurunan perfusi ginjal, dan mekanisme adaptasi pada tubulus ginjal yang mengurangi konsentrasi diuretik di tempat kerjanya (Ellison, 2021). Strategi penanganan konvensional seperti peningkatan dosis diuretik gelung intravena atau penambahan diuretik thiazide seringkali tidak memberikan hasil yang memuaskan dan dapat memperburuk gangguan elektrolit atau fungsi ginjal, yang dikenal sebagai sindrom kardiorenal (Rangaswami et al., 2019).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Tolvaptan, suatu antagonis reseptor V2 vasopressin oral selektif, menawarkan strategi terapeutik alternatif dengan mekanisme kerja yang berbeda. Obat ini bekerja dengan memblokir aksi vasopressin pada reseptor V2 di tubulus kolektivus ginjal, sehingga menghambat reabsorpsi air bebas melalui aquaporin-2 dan menghasilkan aquaresis peningkatan ekskresi air tanpa kehilangan elektrolit yang signifikan (Imamura et al., 2020). Pendekatan ini secara teoretis menguntungkan untuk mengurangi kelebihan volume cairan tanpa memperburuk hiponatremia pengenceran atau gangguan elektrolit lain, komplikasi yang umum terjadi pada penggunaan diuretik konvensional.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Bukti dari uji klinis acak terkontrol dan meta-analisis terkini menunjukkan bahwa tolvaptan efektif dalam meningkatkan output urin, mengurangi berat badan, dan memperbaiki gejala kongesti pada pasien gagal jantung akut dengan hiponatremia atau respons yang tidak adekuat terhadap diuretik (Watanabe et al., 2022; Singh et al., 2021). Namun, mayoritas data tersebut berasal dari populasi di negara maju. Data mengenai efektivitas, pola respons, dan profil keamanan tolvaptan pada populasi pasien Indonesia masih sangat terbatas. Karakteristik pasien Indonesia, termasuk faktor genetika, pola diet, prevalensi komorbiditas seperti penyakit ginjal kronik, dan praktik klinis lokal, dapat menghasilkan respons terapi yang berbeda (Kurniawati et al., 2022).</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Berdasarkan kesenjangan pengetahuan tersebut, penelitian ini bertujuan untuk mengevaluasi efektivitas klinis dan keamanan pemberian tolvaptan sebagai terapi tambahan pada pasien gagal jantung dengan resistensi diuretik yang didefinisikan secara ketat di sebuah rumah sakit rujukan tersier di Indonesia. Temuan penelitian ini diharapkan dapat memberikan bukti berbasis real-world yang relevan dengan konteks lokal untuk mengoptimalkan strategi penanganan kongesti refrakter, meningkatkan luaran pasien, dan mendukung pengambilan keputusan klinis yang berbasis bukti.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numPr>
          <w:ilvl w:val="0"/>
          <w:numId w:val="4"/>
        </w:numPr>
        <w:ind w:left="720" w:hanging="360"/>
        <w:rPr/>
      </w:pPr>
      <w:r w:rsidDel="00000000" w:rsidR="00000000" w:rsidRPr="00000000">
        <w:rPr>
          <w:rtl w:val="0"/>
        </w:rPr>
        <w:t xml:space="preserve">METHODS (METODE)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Penelitian ini dirancang sebagai studi observasional analitik dengan pendekatan kohort retrospektif untuk mengevaluasi efektivitas klinis pemberian tolvaptan pada pasien gagal jantung dengan resistensi diuretik. Studi dilakukan di instalasi rawat inap sebuah rumah sakit rujukan tersier di Indonesia. Data dikumpulkan dari rekam medis pasien yang memenuhi kriteria penelitian.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Populasi penelitian terdiri dari seluruh pasien dewasa dengan diagnosis gagal jantung akut dekompensasi yang dirawat di rumah sakit tersebut. Sampel dipilih secara berurutan (consecutive sampling) berdasarkan kriteria inklusi dan eksklusi yang telah ditetapkan. Kriteria inklusi meliputi: (1) diagnosis gagal jantung berdasarkan kriteria Framingham dan/atau pedoman ESC 2021, (2) kelas fungsional New York Heart Association (NYHA) III-IV pada saat masuk, (3) bukti resistensi diuretik yang didefinisikan sebagai output urin kurang dari 1.000 mL per 24 jam setelah minimal tiga hari terapi furosemid intravena dengan dosis 80 mg atau lebih per hari, atau penurunan berat badan kurang dari 1 kg per 24 jam meskipun terapi diuretik optimal, (4) penerimaan terapi tolvaptan (Samsca®, Otsuka Pharmaceutical) selama rawat inap dengan dosis 7,5 mg atau 15 mg per hari, dan (5) kelengkapan data klinis dan laboratorium dalam rekam medis elektronik. Kriteria eksklusi terdiri dari: usia di bawah 18 tahun, gangguan fungsi hati berat (Child-Pugh class C), anuria atau kebutuhan terapi pengganti ginjal (dialisis), hiponatremia berat (natrium serum &lt;125 mEq/L), syok kardiogenik atau hipotensi refrakter (tekanan darah sistolik &lt;90 mmHg), penggunaan obat eksperimental lain selain tolvaptan, serta data rekam medis yang tidak lengkap atau tidak dapat dilacak.</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Pengumpulan data dilakukan dengan mengekstrak informasi dari sistem rekam medis elektronik terintegrasi rumah sakit (SIMRS) menggunakan formulir pengumpulan data terstruktur. Data yang dikumpulkan mencakup informasi demografis, riwayat medis dan pengobatan, parameter klinis serial (berat badan, tanda vital, pencatatan intake dan output cairan harian), hasil pemeriksaan laboratorium (elektrolit serum, fungsi ginjal, kadar B-type Natriuretic Peptide atau N-terminal pro-BNP), serta dokumentasi efek samping. Alat ukur utama dalam penelitian ini adalah timbangan digital pasien (model Seca 954, Seca GmbH &amp; Co. KG, Jerman) dengan kapasitas 200 kg dan ketelitian 0,1 kg yang digunakan untuk pengukuran berat badan harian. Pengukuran output urin dilakukan menggunakan urimeter bag (model Bard® Urine Meter Bag, 2000 mL) yang dikalibrasi secara berkala. Pemeriksaan laboratorium dilakukan di laboratorium klinik terakreditasi rumah sakit menggunakan autoanalyzer (model Cobas c 502, Roche Diagnostics, Swiss) untuk parameter biokimia dan analizer imunologi (model Cobas e 602, Roche Diagnostics, Swiss) untuk biomarker jantung. Data ekokardiografi, bila tersedia, diperoleh dari mesin ekokardiografi (model Vivid E95, GE Healthcare, AS).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 terapi yang dianalisis mengikuti panduan standar institusi. Inisiasi tolvaptan dimulai dengan dosis 7,5 mg per hari secara oral, diberikan pada pagi hari. Evaluasi respons dilakukan setelah 48 jam; dosis dapat ditingkatkan menjadi 15 mg per hari jika peningkatan output urin kurang dari 30% atau penurunan berat badan kurang dari 0,5 kg per hari. Durasi terapi adalah 5 hingga 7 hari atau hingga tercapai kondisi euvolemia yang ditentukan oleh dokter yang merawat. Pemantauan ketat meliputi penimbangan berat badan harian pada waktu yang sama, pencatatan intake dan output cairan, pemeriksaan natrium serum setiap 24-48 jam, dan evaluasi fungsi ginjal setiap 48-72 jam.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Variabel utama (outcome) penelitian meliputi perubahan berat badan (dalam kilogram) dari baseline hingga hari ke-7, peningkatan volume output urin harian (dalam mL/24 jam), dan perbaikan skor gejala kongesti. Variabel sekunder mencakup perubahan kadar natrium serum, perubahan parameter fungsi ginjal (kreatinin serum dan estimated Glomerular Filtration Rate/eGFR), lama rawat inap, dan insidensi kejadian advers. Variabel perancu yang dicatat dan dianalisis meliputi usia, jenis kelamin, tipe gagal jantung (fraksi ejeksi tertekan/HFrEF atau terpelihara/HFpEF), komorbiditas (hipertiensi, diabetes melitus, penyakit ginjal kronik), serta regimen pengobatan konkomitan seperti ACE inhibitor/ARB, beta-blocker, dan mineralocorticoid receptor antagonist.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Analisis data dilakukan dengan perangkat lunak statistik SPSS versi 26.0 (IBM Corp., Armonk, NY, AS). Data kontinu dengan distribusi normal dianalisis menggunakan uji paired t-test untuk membandingkan parameter sebelum dan sesudah intervensi, dan disajikan sebagai mean ± standar deviasi (SD). Data dengan distribusi tidak normal dianalisis dengan uji Wilcoxon signed-rank test dan disajikan sebagai median dengan rentang interkuartil (IQR). Data kategorikal dianalisis menggunakan uji Chi-square atau Fisher's exact test sesuai kebutuhan, dan disajikan sebagai frekuensi (persentase). Untuk mengidentifikasi faktor-faktor yang memprediksi respons terapi, dilakukan analisis regresi logistik. Analisis multivariat dengan regresi linear digunakan untuk menilai hubungan antara variabel independen dan perubahan berat badan, dengan penyesuaian untuk variabel perancu potensial. Analisis kelangsungan (survival analysis) menggunakan metode Kaplan-Meier dan uji log-rank dilakukan untuk menilai waktu hingga tercapai euvolemia. Tingkat signifikansi statistik ditetapkan pada nilai p &lt; 0,05.</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Aspek etika penelitian telah mendapatkan persetujuan dari komite etik yang berwenang. Prinsip kerahasiaan dijaga ketat dengan menganonimisasi semua data identitas pasien dan menggunakan kode unik dalam basis data penelitian. Penelitian ini menggunakan data sekunder sehingga tidak melibatkan intervensi langsung terhadap subjek.</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204"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1"/>
        <w:numPr>
          <w:ilvl w:val="0"/>
          <w:numId w:val="4"/>
        </w:numPr>
        <w:ind w:left="720" w:hanging="360"/>
        <w:rPr/>
      </w:pPr>
      <w:r w:rsidDel="00000000" w:rsidR="00000000" w:rsidRPr="00000000">
        <w:rPr>
          <w:rtl w:val="0"/>
        </w:rPr>
        <w:t xml:space="preserve">RESULTS AND DISCUSSION (HASIL DAN PEMBAHASAN)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section is the most important section of your article. The analysis or results of the research should clear and concise. The results should summarize (scientific) findings rather than providing data in great detail. Please highlight differences between your results or findings and the previous publications by other researchers. For tables you need to sound the table.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0" w:right="204"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Table 1. The Tittle of Table Should Be Placed on The Top of Table. The Tittle Should Be Clear and Reflect The Result Presented In The Table</w:t>
      </w:r>
    </w:p>
    <w:tbl>
      <w:tblPr>
        <w:tblStyle w:val="Table2"/>
        <w:tblW w:w="5086.0" w:type="dxa"/>
        <w:jc w:val="center"/>
        <w:tblLayout w:type="fixed"/>
        <w:tblLook w:val="0400"/>
      </w:tblPr>
      <w:tblGrid>
        <w:gridCol w:w="1115"/>
        <w:gridCol w:w="1381"/>
        <w:gridCol w:w="1381"/>
        <w:gridCol w:w="1209"/>
        <w:tblGridChange w:id="0">
          <w:tblGrid>
            <w:gridCol w:w="1115"/>
            <w:gridCol w:w="1381"/>
            <w:gridCol w:w="1381"/>
            <w:gridCol w:w="1209"/>
          </w:tblGrid>
        </w:tblGridChange>
      </w:tblGrid>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43">
            <w:pPr>
              <w:ind w:left="450" w:right="204"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4">
            <w:pPr>
              <w:ind w:left="450" w:right="204"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Detail 1</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5">
            <w:pPr>
              <w:ind w:left="450" w:right="204"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Detail 2</w:t>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46">
            <w:pPr>
              <w:ind w:left="450" w:right="204"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Etc.</w:t>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47">
            <w:pPr>
              <w:ind w:left="450" w:right="204"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48">
            <w:pPr>
              <w:ind w:left="450" w:right="204"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49">
            <w:pPr>
              <w:ind w:left="450" w:right="204"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4A">
            <w:pPr>
              <w:ind w:left="450" w:right="204" w:firstLine="0"/>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4B">
            <w:pPr>
              <w:ind w:left="450" w:right="204" w:firstLine="0"/>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C">
            <w:pPr>
              <w:ind w:left="450" w:right="204" w:firstLine="0"/>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D">
            <w:pPr>
              <w:ind w:left="450" w:right="204" w:firstLine="0"/>
              <w:rPr>
                <w:rFonts w:ascii="Times New Roman" w:cs="Times New Roman" w:eastAsia="Times New Roman" w:hAnsi="Times New Roman"/>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4E">
            <w:pPr>
              <w:ind w:left="450" w:right="204" w:firstLine="0"/>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4F">
            <w:pPr>
              <w:ind w:left="450" w:right="204" w:firstLine="0"/>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0">
            <w:pPr>
              <w:ind w:left="450" w:right="204" w:firstLine="0"/>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1">
            <w:pPr>
              <w:ind w:left="450" w:right="204" w:firstLine="0"/>
              <w:rPr>
                <w:rFonts w:ascii="Times New Roman" w:cs="Times New Roman" w:eastAsia="Times New Roman" w:hAnsi="Times New Roman"/>
                <w:sz w:val="20"/>
                <w:szCs w:val="20"/>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52">
            <w:pPr>
              <w:ind w:left="450" w:right="204" w:firstLine="0"/>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204"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204"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Source: Author, Title of the book, year of publication, page(s).; or if the data taken from the analisis then you should write as :Analysed from the primary source.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450" w:right="204"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tbl>
      <w:tblPr>
        <w:tblStyle w:val="Table3"/>
        <w:tblW w:w="8478.0" w:type="dxa"/>
        <w:jc w:val="center"/>
        <w:tblLayout w:type="fixed"/>
        <w:tblLook w:val="0000"/>
      </w:tblPr>
      <w:tblGrid>
        <w:gridCol w:w="4293"/>
        <w:gridCol w:w="4185"/>
        <w:tblGridChange w:id="0">
          <w:tblGrid>
            <w:gridCol w:w="4293"/>
            <w:gridCol w:w="4185"/>
          </w:tblGrid>
        </w:tblGridChange>
      </w:tblGrid>
      <w:tr>
        <w:trPr>
          <w:cantSplit w:val="0"/>
          <w:trHeight w:val="1277" w:hRule="atLeast"/>
          <w:tblHeader w:val="0"/>
        </w:trPr>
        <w:tc>
          <w:tcPr/>
          <w:p w:rsidR="00000000" w:rsidDel="00000000" w:rsidP="00000000" w:rsidRDefault="00000000" w:rsidRPr="00000000" w14:paraId="00000056">
            <w:pPr>
              <w:ind w:left="450" w:right="20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173605" cy="1578610"/>
                  <wp:effectExtent b="0" l="0" r="0" t="0"/>
                  <wp:docPr id="1430677841"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2173605" cy="157861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ind w:left="450" w:right="20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058">
            <w:pPr>
              <w:ind w:left="450" w:right="20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105025" cy="1638935"/>
                  <wp:effectExtent b="0" l="0" r="0" t="0"/>
                  <wp:docPr id="1430677840"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2105025" cy="163893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ind w:left="450" w:right="20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204"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Figure 1. The Tittle of Figure Should Be Placed on The Bottom of Figure. The Tittle Should Be Clear and Reflect The Result Presented In The Figure  (A) xxxxxx (B)xxxxxx</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204"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204"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450" w:right="204" w:firstLine="435.999999999999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Following main headings it should be providedfor the manuscript. The separation between main headings, sub-headings and sub-sub headings should be numbered in the manuscript with following example:</w:t>
      </w:r>
    </w:p>
    <w:p w:rsidR="00000000" w:rsidDel="00000000" w:rsidP="00000000" w:rsidRDefault="00000000" w:rsidRPr="00000000" w14:paraId="0000005E">
      <w:pPr>
        <w:spacing w:after="80" w:lineRule="auto"/>
        <w:ind w:left="450" w:right="20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HEADING</w:t>
      </w:r>
    </w:p>
    <w:p w:rsidR="00000000" w:rsidDel="00000000" w:rsidP="00000000" w:rsidRDefault="00000000" w:rsidRPr="00000000" w14:paraId="0000005F">
      <w:pPr>
        <w:spacing w:after="80" w:lineRule="auto"/>
        <w:ind w:left="450" w:right="20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Sub-Heading</w:t>
      </w:r>
    </w:p>
    <w:p w:rsidR="00000000" w:rsidDel="00000000" w:rsidP="00000000" w:rsidRDefault="00000000" w:rsidRPr="00000000" w14:paraId="00000060">
      <w:pPr>
        <w:spacing w:after="80" w:lineRule="auto"/>
        <w:ind w:left="450" w:right="204" w:firstLine="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Sub-Sub Heading</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204"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Number 1</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204"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Number 2</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204"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Number 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204"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170" w:right="204"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 number</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1350" w:right="204"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List</w:t>
      </w:r>
    </w:p>
    <w:p w:rsidR="00000000" w:rsidDel="00000000" w:rsidP="00000000" w:rsidRDefault="00000000" w:rsidRPr="00000000" w14:paraId="00000067">
      <w:pPr>
        <w:spacing w:after="80" w:lineRule="auto"/>
        <w:ind w:left="450" w:right="20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pStyle w:val="Heading1"/>
        <w:numPr>
          <w:ilvl w:val="0"/>
          <w:numId w:val="4"/>
        </w:numPr>
        <w:ind w:left="720" w:hanging="360"/>
        <w:rPr/>
      </w:pPr>
      <w:r w:rsidDel="00000000" w:rsidR="00000000" w:rsidRPr="00000000">
        <w:rPr>
          <w:rtl w:val="0"/>
        </w:rPr>
        <w:t xml:space="preserve">CONCLUSION (KESIMPULAN)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Conclusion contains a description that should answer the problem(s) raised and answer the objectives of research. Provide a clear and concise conclusion. Do not repeat the Abstract or simply describe the results of the research. Give a clear explanation regarding the possible application and/or suggestions related to the research findings.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1"/>
        <w:numPr>
          <w:ilvl w:val="0"/>
          <w:numId w:val="4"/>
        </w:numPr>
        <w:ind w:left="720" w:hanging="360"/>
        <w:rPr/>
      </w:pPr>
      <w:r w:rsidDel="00000000" w:rsidR="00000000" w:rsidRPr="00000000">
        <w:rPr>
          <w:rtl w:val="0"/>
        </w:rPr>
        <w:t xml:space="preserve">ACKNOWLEDGMENT (UCAPAN TERIMAKASIH)</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necessary put your acknowledgements here. In this section you should give credit to people who have helped you with the research or with writing the paper. If your work has been supported by a grant, you would also give credit for that in this section.</w:t>
      </w:r>
    </w:p>
    <w:p w:rsidR="00000000" w:rsidDel="00000000" w:rsidP="00000000" w:rsidRDefault="00000000" w:rsidRPr="00000000" w14:paraId="0000006D">
      <w:pPr>
        <w:spacing w:after="0" w:lineRule="auto"/>
        <w:ind w:left="450" w:right="204"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pStyle w:val="Heading1"/>
        <w:numPr>
          <w:ilvl w:val="0"/>
          <w:numId w:val="4"/>
        </w:numPr>
        <w:ind w:left="720" w:hanging="360"/>
        <w:rPr/>
      </w:pPr>
      <w:r w:rsidDel="00000000" w:rsidR="00000000" w:rsidRPr="00000000">
        <w:rPr>
          <w:rtl w:val="0"/>
        </w:rPr>
        <w:t xml:space="preserve">REFERENCES (DAFTAR PUSTAKA)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0" w:right="204" w:firstLine="435.9999999999999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References at the end of the manuscript should be written in APA (American Psychological Association) Citation Style. Times New Roman (10 pt) and preferably the last 10 years</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They could be cited from books, journal articles, laws, and other references. Cite only items that you have read and written on footnotes. Please use Reference Manager Applications like EndNote, Mendeley, Zotero, etc. (Mendeley is preferred). Use other published articles in the same journal as models. All publications cited in the text should be included as a list of bibliography, arranged alphabetically by author. For example: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450" w:right="204"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ind w:left="450" w:right="20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Book</w:t>
      </w:r>
    </w:p>
    <w:p w:rsidR="00000000" w:rsidDel="00000000" w:rsidP="00000000" w:rsidRDefault="00000000" w:rsidRPr="00000000" w14:paraId="00000072">
      <w:pPr>
        <w:ind w:left="450" w:right="20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Rikomah, S. E. (2018). </w:t>
      </w:r>
      <w:r w:rsidDel="00000000" w:rsidR="00000000" w:rsidRPr="00000000">
        <w:rPr>
          <w:rFonts w:ascii="Times New Roman" w:cs="Times New Roman" w:eastAsia="Times New Roman" w:hAnsi="Times New Roman"/>
          <w:i w:val="1"/>
          <w:iCs w:val="1"/>
          <w:sz w:val="20"/>
          <w:szCs w:val="20"/>
          <w:rtl w:val="0"/>
        </w:rPr>
        <w:t xml:space="preserve">Farmasi klinik</w:t>
      </w:r>
      <w:r w:rsidDel="00000000" w:rsidR="00000000" w:rsidRPr="00000000">
        <w:rPr>
          <w:rFonts w:ascii="Times New Roman" w:cs="Times New Roman" w:eastAsia="Times New Roman" w:hAnsi="Times New Roman"/>
          <w:sz w:val="20"/>
          <w:szCs w:val="20"/>
          <w:rtl w:val="0"/>
        </w:rPr>
        <w:t xml:space="preserve">. Deepublish.</w:t>
      </w:r>
      <w:r w:rsidDel="00000000" w:rsidR="00000000" w:rsidRPr="00000000">
        <w:rPr>
          <w:rtl w:val="0"/>
        </w:rPr>
      </w:r>
    </w:p>
    <w:p w:rsidR="00000000" w:rsidDel="00000000" w:rsidP="00000000" w:rsidRDefault="00000000" w:rsidRPr="00000000" w14:paraId="00000073">
      <w:pPr>
        <w:ind w:left="450" w:right="204"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Attwood, D. (2012). </w:t>
      </w:r>
      <w:r w:rsidDel="00000000" w:rsidR="00000000" w:rsidRPr="00000000">
        <w:rPr>
          <w:rFonts w:ascii="Times New Roman" w:cs="Times New Roman" w:eastAsia="Times New Roman" w:hAnsi="Times New Roman"/>
          <w:i w:val="1"/>
          <w:iCs w:val="1"/>
          <w:sz w:val="20"/>
          <w:szCs w:val="20"/>
          <w:rtl w:val="0"/>
        </w:rPr>
        <w:t xml:space="preserve">Surfactant systems: their chemistry, pharmacy and biology</w:t>
      </w:r>
      <w:r w:rsidDel="00000000" w:rsidR="00000000" w:rsidRPr="00000000">
        <w:rPr>
          <w:rFonts w:ascii="Times New Roman" w:cs="Times New Roman" w:eastAsia="Times New Roman" w:hAnsi="Times New Roman"/>
          <w:sz w:val="20"/>
          <w:szCs w:val="20"/>
          <w:rtl w:val="0"/>
        </w:rPr>
        <w:t xml:space="preserve">. Springer Science &amp; Business Media.</w:t>
      </w:r>
      <w:r w:rsidDel="00000000" w:rsidR="00000000" w:rsidRPr="00000000">
        <w:rPr>
          <w:rtl w:val="0"/>
        </w:rPr>
      </w:r>
    </w:p>
    <w:p w:rsidR="00000000" w:rsidDel="00000000" w:rsidP="00000000" w:rsidRDefault="00000000" w:rsidRPr="00000000" w14:paraId="00000074">
      <w:pPr>
        <w:ind w:left="450" w:firstLine="0"/>
        <w:rPr>
          <w:rFonts w:ascii="Times New Roman" w:cs="Times New Roman" w:eastAsia="Times New Roman" w:hAnsi="Times New Roman"/>
          <w:b w:val="1"/>
          <w:bCs w:val="1"/>
          <w:smallCaps w:val="1"/>
          <w:color w:val="000000"/>
        </w:rPr>
      </w:pPr>
      <w:r w:rsidDel="00000000" w:rsidR="00000000" w:rsidRPr="00000000">
        <w:rPr>
          <w:rFonts w:ascii="Times New Roman" w:cs="Times New Roman" w:eastAsia="Times New Roman" w:hAnsi="Times New Roman"/>
          <w:b w:val="1"/>
          <w:bCs w:val="1"/>
          <w:smallCaps w:val="1"/>
          <w:color w:val="000000"/>
          <w:rtl w:val="0"/>
        </w:rPr>
        <w:t xml:space="preserve">J</w:t>
      </w:r>
      <w:r w:rsidDel="00000000" w:rsidR="00000000" w:rsidRPr="00000000">
        <w:rPr>
          <w:rFonts w:ascii="Times New Roman" w:cs="Times New Roman" w:eastAsia="Times New Roman" w:hAnsi="Times New Roman"/>
          <w:b w:val="1"/>
          <w:bCs w:val="1"/>
          <w:color w:val="000000"/>
          <w:rtl w:val="0"/>
        </w:rPr>
        <w:t xml:space="preserve">ournals</w:t>
      </w:r>
      <w:r w:rsidDel="00000000" w:rsidR="00000000" w:rsidRPr="00000000">
        <w:rPr>
          <w:rtl w:val="0"/>
        </w:rPr>
      </w:r>
    </w:p>
    <w:p w:rsidR="00000000" w:rsidDel="00000000" w:rsidP="00000000" w:rsidRDefault="00000000" w:rsidRPr="00000000" w14:paraId="00000075">
      <w:pPr>
        <w:ind w:left="45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Bond, C. A., &amp; Raehl, C. L. (2007). Clinical pharmacy services, pharmacy staffing, and hospital mortality rates. </w:t>
      </w:r>
      <w:r w:rsidDel="00000000" w:rsidR="00000000" w:rsidRPr="00000000">
        <w:rPr>
          <w:rFonts w:ascii="Times New Roman" w:cs="Times New Roman" w:eastAsia="Times New Roman" w:hAnsi="Times New Roman"/>
          <w:i w:val="1"/>
          <w:iCs w:val="1"/>
          <w:sz w:val="20"/>
          <w:szCs w:val="20"/>
          <w:rtl w:val="0"/>
        </w:rPr>
        <w:t xml:space="preserve">Pharmacotherapy: The Journal of Human Pharmacology and Drug Therapy</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27</w:t>
      </w:r>
      <w:r w:rsidDel="00000000" w:rsidR="00000000" w:rsidRPr="00000000">
        <w:rPr>
          <w:rFonts w:ascii="Times New Roman" w:cs="Times New Roman" w:eastAsia="Times New Roman" w:hAnsi="Times New Roman"/>
          <w:sz w:val="20"/>
          <w:szCs w:val="20"/>
          <w:rtl w:val="0"/>
        </w:rPr>
        <w:t xml:space="preserve">(4), 481-493.</w:t>
      </w:r>
    </w:p>
    <w:p w:rsidR="00000000" w:rsidDel="00000000" w:rsidP="00000000" w:rsidRDefault="00000000" w:rsidRPr="00000000" w14:paraId="00000076">
      <w:pPr>
        <w:ind w:left="45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Web page</w:t>
      </w:r>
    </w:p>
    <w:p w:rsidR="00000000" w:rsidDel="00000000" w:rsidP="00000000" w:rsidRDefault="00000000" w:rsidRPr="00000000" w14:paraId="00000077">
      <w:pPr>
        <w:ind w:left="45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Shackelford, W. (2000). The six stages of cultural competence. In Diversity central: Learning. Retrieved April 16, 2000, from </w:t>
      </w:r>
      <w:hyperlink r:id="rId15">
        <w:r w:rsidDel="00000000" w:rsidR="00000000" w:rsidRPr="00000000">
          <w:rPr>
            <w:rFonts w:ascii="Times New Roman" w:cs="Times New Roman" w:eastAsia="Times New Roman" w:hAnsi="Times New Roman"/>
            <w:color w:val="0000ff"/>
            <w:sz w:val="20"/>
            <w:szCs w:val="20"/>
            <w:u w:val="single"/>
            <w:rtl w:val="0"/>
          </w:rPr>
          <w:t xml:space="preserve">http://www.diversityhotwire.com/learning/cultural_insights.html</w:t>
        </w:r>
      </w:hyperlink>
      <w:r w:rsidDel="00000000" w:rsidR="00000000" w:rsidRPr="00000000">
        <w:rPr>
          <w:rtl w:val="0"/>
        </w:rPr>
      </w:r>
    </w:p>
    <w:p w:rsidR="00000000" w:rsidDel="00000000" w:rsidP="00000000" w:rsidRDefault="00000000" w:rsidRPr="00000000" w14:paraId="00000078">
      <w:pPr>
        <w:ind w:left="45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Newspaper or magazine</w:t>
      </w:r>
    </w:p>
    <w:p w:rsidR="00000000" w:rsidDel="00000000" w:rsidP="00000000" w:rsidRDefault="00000000" w:rsidRPr="00000000" w14:paraId="00000079">
      <w:pPr>
        <w:ind w:left="45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Toronto, Barbara. (1990). January 23. Indonesia Scandal of Vaccines. New York Times</w:t>
      </w:r>
    </w:p>
    <w:p w:rsidR="00000000" w:rsidDel="00000000" w:rsidP="00000000" w:rsidRDefault="00000000" w:rsidRPr="00000000" w14:paraId="0000007A">
      <w:pPr>
        <w:ind w:left="45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Conference scientific or proceeding</w:t>
      </w:r>
    </w:p>
    <w:p w:rsidR="00000000" w:rsidDel="00000000" w:rsidP="00000000" w:rsidRDefault="00000000" w:rsidRPr="00000000" w14:paraId="0000007B">
      <w:pPr>
        <w:ind w:left="45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Hasballah, K. (2013). Cytotoxic Activities from Stem Bark Extracts of Calotropis gigantea L. Aceh International Pharmacy Conference Proceeding.</w:t>
      </w:r>
    </w:p>
    <w:p w:rsidR="00000000" w:rsidDel="00000000" w:rsidP="00000000" w:rsidRDefault="00000000" w:rsidRPr="00000000" w14:paraId="0000007C">
      <w:pPr>
        <w:keepNext w:val="1"/>
        <w:keepLines w:val="1"/>
        <w:spacing w:line="240" w:lineRule="auto"/>
        <w:ind w:left="450" w:right="204"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F">
      <w:pPr>
        <w:tabs>
          <w:tab w:val="left" w:leader="none" w:pos="9712"/>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tabs>
          <w:tab w:val="left" w:leader="none" w:pos="9712"/>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sectPr>
      <w:type w:val="continuous"/>
      <w:pgSz w:h="16840" w:w="11907" w:orient="portrait"/>
      <w:pgMar w:bottom="900" w:top="1187" w:left="518" w:right="475" w:header="691"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580"/>
        <w:tab w:val="right" w:leader="none" w:pos="10710"/>
      </w:tabs>
      <w:spacing w:after="0" w:before="0" w:line="240" w:lineRule="auto"/>
      <w:ind w:left="0" w:right="204" w:firstLine="3600"/>
      <w:jc w:val="center"/>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1"/>
        <w:bCs w:val="1"/>
        <w:i w:val="1"/>
        <w:iCs w:val="1"/>
        <w:smallCaps w:val="0"/>
        <w:strike w:val="0"/>
        <w:color w:val="000000"/>
        <w:sz w:val="16"/>
        <w:szCs w:val="16"/>
        <w:u w:val="none"/>
        <w:shd w:fill="auto" w:val="clear"/>
        <w:vertAlign w:val="baseline"/>
        <w:rtl w:val="0"/>
      </w:rPr>
      <w:t xml:space="preserve">Journal Farmasi Klinik dan Sains 2022, 1 (1) : 1-8</w:t>
    </w:r>
    <w:r w:rsidDel="00000000" w:rsidR="00000000" w:rsidRPr="00000000">
      <w:rPr>
        <w:rFonts w:ascii="Century" w:cs="Century" w:eastAsia="Century" w:hAnsi="Century"/>
        <w:b w:val="1"/>
        <w:bCs w:val="1"/>
        <w:i w:val="0"/>
        <w:iCs w:val="0"/>
        <w:smallCaps w:val="0"/>
        <w:strike w:val="0"/>
        <w:color w:val="000000"/>
        <w:sz w:val="16"/>
        <w:szCs w:val="16"/>
        <w:u w:val="none"/>
        <w:shd w:fill="auto" w:val="clear"/>
        <w:vertAlign w:val="baseline"/>
        <w:rtl w:val="0"/>
      </w:rPr>
      <w:tab/>
    </w: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80"/>
        <w:tab w:val="center" w:leader="none" w:pos="5670"/>
      </w:tabs>
      <w:spacing w:after="0" w:before="0" w:line="240" w:lineRule="auto"/>
      <w:ind w:left="0" w:right="0" w:firstLine="180"/>
      <w:jc w:val="lef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entury" w:cs="Century" w:eastAsia="Century" w:hAnsi="Century"/>
        <w:b w:val="1"/>
        <w:bCs w:val="1"/>
        <w:i w:val="0"/>
        <w:iCs w:val="0"/>
        <w:smallCaps w:val="0"/>
        <w:strike w:val="0"/>
        <w:color w:val="000000"/>
        <w:sz w:val="16"/>
        <w:szCs w:val="16"/>
        <w:u w:val="none"/>
        <w:shd w:fill="auto" w:val="clear"/>
        <w:vertAlign w:val="baseline"/>
        <w:rtl w:val="0"/>
      </w:rPr>
      <w:t xml:space="preserve"> </w:t>
      <w:tab/>
    </w:r>
    <w:r w:rsidDel="00000000" w:rsidR="00000000" w:rsidRPr="00000000">
      <w:rPr>
        <w:rFonts w:ascii="Century" w:cs="Century" w:eastAsia="Century" w:hAnsi="Century"/>
        <w:b w:val="1"/>
        <w:bCs w:val="1"/>
        <w:i w:val="1"/>
        <w:iCs w:val="1"/>
        <w:smallCaps w:val="0"/>
        <w:strike w:val="0"/>
        <w:color w:val="000000"/>
        <w:sz w:val="16"/>
        <w:szCs w:val="16"/>
        <w:u w:val="none"/>
        <w:shd w:fill="auto" w:val="clear"/>
        <w:vertAlign w:val="baseline"/>
        <w:rtl w:val="0"/>
      </w:rPr>
      <w:t xml:space="preserve">Journal Farmasi Klinik dan Sains 2022, 1 (1) : 1-8</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27" w:hanging="360"/>
      </w:pPr>
      <w:rPr/>
    </w:lvl>
    <w:lvl w:ilvl="2">
      <w:start w:val="1"/>
      <w:numFmt w:val="decimal"/>
      <w:lvlText w:val="%1.%2.%3"/>
      <w:lvlJc w:val="left"/>
      <w:pPr>
        <w:ind w:left="1854" w:hanging="720"/>
      </w:pPr>
      <w:rPr/>
    </w:lvl>
    <w:lvl w:ilvl="3">
      <w:start w:val="1"/>
      <w:numFmt w:val="decimal"/>
      <w:lvlText w:val="%1.%2.%3.%4"/>
      <w:lvlJc w:val="left"/>
      <w:pPr>
        <w:ind w:left="2421" w:hanging="720"/>
      </w:pPr>
      <w:rPr/>
    </w:lvl>
    <w:lvl w:ilvl="4">
      <w:start w:val="1"/>
      <w:numFmt w:val="decimal"/>
      <w:lvlText w:val="%1.%2.%3.%4.%5"/>
      <w:lvlJc w:val="left"/>
      <w:pPr>
        <w:ind w:left="2988" w:hanging="720"/>
      </w:pPr>
      <w:rPr/>
    </w:lvl>
    <w:lvl w:ilvl="5">
      <w:start w:val="1"/>
      <w:numFmt w:val="decimal"/>
      <w:lvlText w:val="%1.%2.%3.%4.%5.%6"/>
      <w:lvlJc w:val="left"/>
      <w:pPr>
        <w:ind w:left="3915" w:hanging="1080"/>
      </w:pPr>
      <w:rPr/>
    </w:lvl>
    <w:lvl w:ilvl="6">
      <w:start w:val="1"/>
      <w:numFmt w:val="decimal"/>
      <w:lvlText w:val="%1.%2.%3.%4.%5.%6.%7"/>
      <w:lvlJc w:val="left"/>
      <w:pPr>
        <w:ind w:left="4482" w:hanging="1080"/>
      </w:pPr>
      <w:rPr/>
    </w:lvl>
    <w:lvl w:ilvl="7">
      <w:start w:val="1"/>
      <w:numFmt w:val="decimal"/>
      <w:lvlText w:val="%1.%2.%3.%4.%5.%6.%7.%8"/>
      <w:lvlJc w:val="left"/>
      <w:pPr>
        <w:ind w:left="5409" w:hanging="1440"/>
      </w:pPr>
      <w:rPr/>
    </w:lvl>
    <w:lvl w:ilvl="8">
      <w:start w:val="1"/>
      <w:numFmt w:val="decimal"/>
      <w:lvlText w:val="%1.%2.%3.%4.%5.%6.%7.%8.%9"/>
      <w:lvlJc w:val="left"/>
      <w:pPr>
        <w:ind w:left="5976" w:hanging="1440"/>
      </w:pPr>
      <w:rPr/>
    </w:lvl>
  </w:abstractNum>
  <w:abstractNum w:abstractNumId="2">
    <w:lvl w:ilvl="0">
      <w:start w:val="1"/>
      <w:numFmt w:val="lowerLetter"/>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3">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644" w:hanging="359.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0" w:line="276" w:lineRule="auto"/>
      <w:ind w:left="450" w:right="204" w:hanging="284"/>
      <w:jc w:val="both"/>
    </w:pPr>
    <w:rPr>
      <w:rFonts w:ascii="Times New Roman" w:cs="Times New Roman" w:eastAsia="Times New Roman" w:hAnsi="Times New Roman"/>
      <w:b w:val="1"/>
      <w:bCs w:val="1"/>
    </w:rPr>
  </w:style>
  <w:style w:type="paragraph" w:styleId="Heading2">
    <w:name w:val="heading 2"/>
    <w:basedOn w:val="Normal"/>
    <w:next w:val="Normal"/>
    <w:pPr>
      <w:widowControl w:val="0"/>
      <w:spacing w:after="0" w:line="240" w:lineRule="auto"/>
      <w:ind w:left="117"/>
      <w:jc w:val="both"/>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E0477F"/>
    <w:pPr>
      <w:spacing w:after="200" w:line="276" w:lineRule="auto"/>
    </w:pPr>
    <w:rPr>
      <w:sz w:val="22"/>
      <w:szCs w:val="22"/>
    </w:rPr>
  </w:style>
  <w:style w:type="paragraph" w:styleId="Heading1">
    <w:name w:val="heading 1"/>
    <w:basedOn w:val="ListParagraph"/>
    <w:next w:val="Normal"/>
    <w:link w:val="Heading1Char"/>
    <w:uiPriority w:val="9"/>
    <w:qFormat w:val="1"/>
    <w:rsid w:val="00BE79B6"/>
    <w:pPr>
      <w:numPr>
        <w:numId w:val="6"/>
      </w:numPr>
      <w:spacing w:line="276" w:lineRule="auto"/>
      <w:ind w:left="450" w:right="204" w:hanging="284"/>
      <w:jc w:val="both"/>
      <w:outlineLvl w:val="0"/>
    </w:pPr>
    <w:rPr>
      <w:b w:val="1"/>
      <w:szCs w:val="22"/>
    </w:rPr>
  </w:style>
  <w:style w:type="paragraph" w:styleId="Heading2">
    <w:name w:val="heading 2"/>
    <w:basedOn w:val="Normal"/>
    <w:link w:val="Heading2Char"/>
    <w:uiPriority w:val="1"/>
    <w:qFormat w:val="1"/>
    <w:rsid w:val="009446FF"/>
    <w:pPr>
      <w:widowControl w:val="0"/>
      <w:spacing w:after="0" w:line="240" w:lineRule="auto"/>
      <w:ind w:left="117"/>
      <w:jc w:val="both"/>
      <w:outlineLvl w:val="1"/>
    </w:pPr>
    <w:rPr>
      <w:b w:val="1"/>
      <w:bCs w:val="1"/>
      <w:sz w:val="24"/>
      <w:szCs w:val="24"/>
      <w:lang w:eastAsia="x-none"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E0477F"/>
  </w:style>
  <w:style w:type="character" w:styleId="Heading2Char1" w:customStyle="1">
    <w:name w:val="Heading 2 Char1"/>
    <w:locked w:val="1"/>
    <w:rsid w:val="00E0477F"/>
    <w:rPr>
      <w:rFonts w:cs="Times New Roman"/>
      <w:b w:val="1"/>
      <w:bCs w:val="1"/>
      <w:sz w:val="36"/>
      <w:szCs w:val="36"/>
      <w:lang w:eastAsia="en-US" w:val="en-US"/>
    </w:rPr>
  </w:style>
  <w:style w:type="paragraph" w:styleId="Header">
    <w:name w:val="header"/>
    <w:basedOn w:val="Normal"/>
    <w:link w:val="HeaderChar"/>
    <w:uiPriority w:val="99"/>
    <w:unhideWhenUsed w:val="1"/>
    <w:rsid w:val="00E047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477F"/>
  </w:style>
  <w:style w:type="paragraph" w:styleId="Footer">
    <w:name w:val="footer"/>
    <w:basedOn w:val="Normal"/>
    <w:link w:val="FooterChar"/>
    <w:uiPriority w:val="99"/>
    <w:unhideWhenUsed w:val="1"/>
    <w:rsid w:val="00E047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477F"/>
  </w:style>
  <w:style w:type="paragraph" w:styleId="Default" w:customStyle="1">
    <w:name w:val="Default"/>
    <w:rsid w:val="001903F3"/>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val="1"/>
    <w:rsid w:val="001903F3"/>
    <w:rPr>
      <w:rFonts w:ascii="Times New Roman" w:eastAsia="SimSun" w:hAnsi="Times New Roman"/>
      <w:sz w:val="24"/>
      <w:szCs w:val="24"/>
      <w:lang w:eastAsia="zh-CN"/>
    </w:rPr>
  </w:style>
  <w:style w:type="character" w:styleId="NoSpacingChar" w:customStyle="1">
    <w:name w:val="No Spacing Char"/>
    <w:link w:val="NoSpacing"/>
    <w:uiPriority w:val="1"/>
    <w:rsid w:val="001903F3"/>
    <w:rPr>
      <w:rFonts w:ascii="Times New Roman" w:eastAsia="SimSun" w:hAnsi="Times New Roman"/>
      <w:sz w:val="24"/>
      <w:szCs w:val="24"/>
      <w:lang w:bidi="ar-SA" w:eastAsia="zh-CN" w:val="en-US"/>
    </w:rPr>
  </w:style>
  <w:style w:type="table" w:styleId="TableGrid">
    <w:name w:val="Table Grid"/>
    <w:basedOn w:val="TableNormal"/>
    <w:uiPriority w:val="59"/>
    <w:rsid w:val="001371B4"/>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Heading2Char" w:customStyle="1">
    <w:name w:val="Heading 2 Char"/>
    <w:link w:val="Heading2"/>
    <w:uiPriority w:val="1"/>
    <w:rsid w:val="009446FF"/>
    <w:rPr>
      <w:rFonts w:cs="Calibri"/>
      <w:b w:val="1"/>
      <w:bCs w:val="1"/>
      <w:sz w:val="24"/>
      <w:szCs w:val="24"/>
    </w:rPr>
  </w:style>
  <w:style w:type="paragraph" w:styleId="BodyText">
    <w:name w:val="Body Text"/>
    <w:basedOn w:val="Normal"/>
    <w:link w:val="BodyTextChar"/>
    <w:uiPriority w:val="1"/>
    <w:qFormat w:val="1"/>
    <w:rsid w:val="009446FF"/>
    <w:pPr>
      <w:widowControl w:val="0"/>
      <w:spacing w:after="0" w:line="240" w:lineRule="auto"/>
    </w:pPr>
    <w:rPr>
      <w:rFonts w:ascii="Times New Roman" w:eastAsia="Times New Roman" w:hAnsi="Times New Roman"/>
      <w:lang w:eastAsia="x-none" w:val="x-none"/>
    </w:rPr>
  </w:style>
  <w:style w:type="character" w:styleId="BodyTextChar" w:customStyle="1">
    <w:name w:val="Body Text Char"/>
    <w:link w:val="BodyText"/>
    <w:uiPriority w:val="1"/>
    <w:rsid w:val="009446FF"/>
    <w:rPr>
      <w:rFonts w:ascii="Times New Roman" w:eastAsia="Times New Roman" w:hAnsi="Times New Roman"/>
      <w:sz w:val="22"/>
      <w:szCs w:val="22"/>
    </w:rPr>
  </w:style>
  <w:style w:type="paragraph" w:styleId="NormalWeb">
    <w:name w:val="Normal (Web)"/>
    <w:basedOn w:val="Normal"/>
    <w:uiPriority w:val="99"/>
    <w:semiHidden w:val="1"/>
    <w:unhideWhenUsed w:val="1"/>
    <w:rsid w:val="009446FF"/>
    <w:pPr>
      <w:spacing w:after="100" w:afterAutospacing="1" w:before="100" w:beforeAutospacing="1" w:line="240" w:lineRule="auto"/>
    </w:pPr>
    <w:rPr>
      <w:rFonts w:ascii="Times New Roman" w:eastAsia="Times New Roman" w:hAnsi="Times New Roman"/>
      <w:sz w:val="24"/>
      <w:szCs w:val="24"/>
    </w:rPr>
  </w:style>
  <w:style w:type="character" w:styleId="Hyperlink">
    <w:name w:val="Hyperlink"/>
    <w:uiPriority w:val="99"/>
    <w:unhideWhenUsed w:val="1"/>
    <w:rsid w:val="009446FF"/>
    <w:rPr>
      <w:color w:val="0000ff"/>
      <w:u w:val="single"/>
    </w:rPr>
  </w:style>
  <w:style w:type="character" w:styleId="Strong">
    <w:name w:val="Strong"/>
    <w:uiPriority w:val="22"/>
    <w:qFormat w:val="1"/>
    <w:rsid w:val="00B969D6"/>
    <w:rPr>
      <w:b w:val="1"/>
      <w:bCs w:val="1"/>
    </w:rPr>
  </w:style>
  <w:style w:type="character" w:styleId="CommentReference">
    <w:name w:val="annotation reference"/>
    <w:uiPriority w:val="99"/>
    <w:semiHidden w:val="1"/>
    <w:unhideWhenUsed w:val="1"/>
    <w:rsid w:val="0083336F"/>
    <w:rPr>
      <w:sz w:val="16"/>
      <w:szCs w:val="16"/>
    </w:rPr>
  </w:style>
  <w:style w:type="paragraph" w:styleId="CommentText">
    <w:name w:val="annotation text"/>
    <w:basedOn w:val="Normal"/>
    <w:link w:val="CommentTextChar"/>
    <w:uiPriority w:val="99"/>
    <w:semiHidden w:val="1"/>
    <w:unhideWhenUsed w:val="1"/>
    <w:rsid w:val="0083336F"/>
    <w:rPr>
      <w:sz w:val="20"/>
      <w:szCs w:val="20"/>
    </w:rPr>
  </w:style>
  <w:style w:type="character" w:styleId="CommentTextChar" w:customStyle="1">
    <w:name w:val="Comment Text Char"/>
    <w:link w:val="CommentText"/>
    <w:uiPriority w:val="99"/>
    <w:semiHidden w:val="1"/>
    <w:rsid w:val="0083336F"/>
    <w:rPr>
      <w:lang w:eastAsia="en-US" w:val="en-US"/>
    </w:rPr>
  </w:style>
  <w:style w:type="paragraph" w:styleId="CommentSubject">
    <w:name w:val="annotation subject"/>
    <w:basedOn w:val="CommentText"/>
    <w:next w:val="CommentText"/>
    <w:link w:val="CommentSubjectChar"/>
    <w:uiPriority w:val="99"/>
    <w:semiHidden w:val="1"/>
    <w:unhideWhenUsed w:val="1"/>
    <w:rsid w:val="0083336F"/>
    <w:rPr>
      <w:b w:val="1"/>
      <w:bCs w:val="1"/>
    </w:rPr>
  </w:style>
  <w:style w:type="character" w:styleId="CommentSubjectChar" w:customStyle="1">
    <w:name w:val="Comment Subject Char"/>
    <w:link w:val="CommentSubject"/>
    <w:uiPriority w:val="99"/>
    <w:semiHidden w:val="1"/>
    <w:rsid w:val="0083336F"/>
    <w:rPr>
      <w:b w:val="1"/>
      <w:bCs w:val="1"/>
      <w:lang w:eastAsia="en-US" w:val="en-US"/>
    </w:rPr>
  </w:style>
  <w:style w:type="paragraph" w:styleId="BalloonText">
    <w:name w:val="Balloon Text"/>
    <w:basedOn w:val="Normal"/>
    <w:link w:val="BalloonTextChar"/>
    <w:uiPriority w:val="99"/>
    <w:semiHidden w:val="1"/>
    <w:unhideWhenUsed w:val="1"/>
    <w:rsid w:val="0083336F"/>
    <w:pPr>
      <w:spacing w:after="0" w:line="240" w:lineRule="auto"/>
    </w:pPr>
    <w:rPr>
      <w:rFonts w:ascii="Segoe UI" w:hAnsi="Segoe UI"/>
      <w:sz w:val="18"/>
      <w:szCs w:val="18"/>
    </w:rPr>
  </w:style>
  <w:style w:type="character" w:styleId="BalloonTextChar" w:customStyle="1">
    <w:name w:val="Balloon Text Char"/>
    <w:link w:val="BalloonText"/>
    <w:uiPriority w:val="99"/>
    <w:semiHidden w:val="1"/>
    <w:rsid w:val="0083336F"/>
    <w:rPr>
      <w:rFonts w:ascii="Segoe UI" w:cs="Segoe UI" w:hAnsi="Segoe UI"/>
      <w:sz w:val="18"/>
      <w:szCs w:val="18"/>
      <w:lang w:eastAsia="en-US" w:val="en-US"/>
    </w:rPr>
  </w:style>
  <w:style w:type="paragraph" w:styleId="ListParagraph">
    <w:name w:val="List Paragraph"/>
    <w:basedOn w:val="Normal"/>
    <w:uiPriority w:val="34"/>
    <w:qFormat w:val="1"/>
    <w:rsid w:val="00813D9C"/>
    <w:pPr>
      <w:spacing w:after="0" w:line="240" w:lineRule="auto"/>
      <w:ind w:left="720"/>
      <w:contextualSpacing w:val="1"/>
    </w:pPr>
    <w:rPr>
      <w:rFonts w:ascii="Times New Roman" w:hAnsi="Times New Roman"/>
      <w:szCs w:val="24"/>
    </w:rPr>
  </w:style>
  <w:style w:type="paragraph" w:styleId="SLRevNumbering" w:customStyle="1">
    <w:name w:val="SLRev Numbering"/>
    <w:basedOn w:val="Normal"/>
    <w:qFormat w:val="1"/>
    <w:rsid w:val="00813D9C"/>
    <w:pPr>
      <w:numPr>
        <w:numId w:val="7"/>
      </w:numPr>
      <w:spacing w:after="0" w:line="240" w:lineRule="auto"/>
      <w:ind w:left="357" w:hanging="357"/>
      <w:jc w:val="both"/>
    </w:pPr>
    <w:rPr>
      <w:rFonts w:ascii="Times New Roman" w:eastAsia="Times New Roman" w:hAnsi="Times New Roman"/>
      <w:sz w:val="24"/>
      <w:szCs w:val="20"/>
    </w:rPr>
  </w:style>
  <w:style w:type="paragraph" w:styleId="BasicParagraph" w:customStyle="1">
    <w:name w:val="[Basic Paragraph]"/>
    <w:basedOn w:val="Normal"/>
    <w:uiPriority w:val="99"/>
    <w:rsid w:val="00835966"/>
    <w:pPr>
      <w:autoSpaceDE w:val="0"/>
      <w:autoSpaceDN w:val="0"/>
      <w:adjustRightInd w:val="0"/>
      <w:spacing w:after="0" w:line="288" w:lineRule="auto"/>
      <w:textAlignment w:val="center"/>
    </w:pPr>
    <w:rPr>
      <w:rFonts w:ascii="Calisto MT" w:cs="Calisto MT" w:hAnsi="Calisto MT"/>
      <w:color w:val="000000"/>
      <w:sz w:val="20"/>
      <w:szCs w:val="20"/>
      <w:lang w:val="en-GB"/>
    </w:rPr>
  </w:style>
  <w:style w:type="character" w:styleId="Heading1Char" w:customStyle="1">
    <w:name w:val="Heading 1 Char"/>
    <w:basedOn w:val="DefaultParagraphFont"/>
    <w:link w:val="Heading1"/>
    <w:uiPriority w:val="9"/>
    <w:rsid w:val="00BE79B6"/>
    <w:rPr>
      <w:rFonts w:ascii="Times New Roman" w:hAnsi="Times New Roman"/>
      <w:b w:val="1"/>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png"/><Relationship Id="rId13" Type="http://schemas.openxmlformats.org/officeDocument/2006/relationships/image" Target="media/image6.jpg"/><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www.diversityhotwire.com/learning/cultural_insights.html" TargetMode="External"/><Relationship Id="rId14"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PeEPTiaW0btdgoQIl+7VljdB9g==">CgMxLjA4AHIhMW1aWjI0OVptUmNDV1BzYVRnUjhUYUg3aW9LbXZDZ1RH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2022-03-12T05:09:00Z</dcterms:created>
  <dc:creator>puma</dc:creator>
</cp:coreProperties>
</file>